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/>
      <w:r>
        <w:rPr>
          <w:sz w:val="28"/>
          <w:b w:val="1"/>
          <w:u w:val="single"/>
        </w:rPr>
        <w:t xml:space="preserve">面临的困难：</w:t>
      </w:r>
    </w:p>
    <w:p>
      <w:pPr>
        <w:ind/>
        <w:spacing/>
      </w:pPr>
      <w:r>
        <w:rPr>
          <w:rFonts w:ascii="PingFangSC-Light" w:hAnsi="PingFangSC-Light" w:cs="PingFangSC-Light" w:eastAsia="PingFangSC-Light"/>
          <w:color w:val="000000"/>
          <w:shd w:val="clear" w:color="auto" w:fill="FFFFFF"/>
        </w:rPr>
        <w:t xml:space="preserve">随着现代化机械设备的需求量越来越大，生产设备日益大型化、自动化；流程线生产流程问题逐渐浮于表面。企业对于机械设备的依赖性越来越高，现阶段设备管理的各项制度已经不能偶满足日常的生产工作了，设备管理流程设计面较广。很多企业都面临这设备管理的问题。因此设计的设备问题较多，并且部分设备问题较为复杂，设备管理起来十分不便。</w:t>
      </w:r>
    </w:p>
    <w:p>
      <w:pPr>
        <w:ind/>
        <w:spacing/>
      </w:pPr>
      <w:r>
        <w:rPr>
          <w:rFonts w:ascii="PingFangSC-Light" w:hAnsi="PingFangSC-Light" w:cs="PingFangSC-Light" w:eastAsia="PingFangSC-Light"/>
          <w:color w:val="000000"/>
          <w:shd w:val="clear" w:color="auto" w:fill="FFFFFF"/>
        </w:rPr>
        <w:t xml:space="preserve">尤其是设备的保养、维修、日常生产运转等等成为了设备管理方面的一大问题点。</w:t>
      </w:r>
    </w:p>
    <w:p>
      <w:pPr>
        <w:ind/>
        <w:spacing/>
        <w:jc w:val="right"/>
      </w:pPr>
      <w:r>
        <w:rPr>
          <w:rFonts w:ascii="PingFangSC-Light" w:hAnsi="PingFangSC-Light" w:cs="PingFangSC-Light" w:eastAsia="PingFangSC-Light"/>
          <w:color w:val="000000"/>
          <w:shd w:val="clear" w:color="auto" w:fill="FFFFFF"/>
        </w:rPr>
      </w:r>
      <w:r>
        <w:drawing>
          <wp:inline distT="0" distB="0" distL="0" distR="0">
            <wp:extent cx="2428875" cy="1047750"/>
            <wp:effectExtent b="0" l="0" r="0" t="0"/>
            <wp:docPr id="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0">
                      <a:off x="0" y="0"/>
                      <a:ext cx="2428875" cy="1047750"/>
                    </a:xfrm>
                    <a:prstGeom prst="rect">
                      <a:avLst/>
                    </a:prstGeom>
                    <a:ln w="9525">
                      <a:solidFill/>
                    </a:ln>
                  </pic:spPr>
                </pic:pic>
              </a:graphicData>
            </a:graphic>
          </wp:inline>
        </w:drawing>
      </w:r>
      <w:r>
        <w:rPr>
          <w:rFonts w:ascii="PingFangSC-Light" w:hAnsi="PingFangSC-Light" w:cs="PingFangSC-Light" w:eastAsia="PingFangSC-Light"/>
          <w:color w:val="000000"/>
          <w:shd w:val="clear" w:color="auto" w:fill="FFFFFF"/>
        </w:rPr>
      </w:r>
    </w:p>
    <w:p>
      <w:pPr/>
      <w:r>
        <w:rPr>
          <w:sz w:val="28"/>
          <w:b w:val="1"/>
          <w:u w:val="single"/>
        </w:rPr>
        <w:t xml:space="preserve">应用特点：</w:t>
      </w:r>
    </w:p>
    <w:p>
      <w:pPr>
        <w:numPr>
          <w:ilvl w:val="0"/>
          <w:numId w:val="1"/>
        </w:numPr>
      </w:pPr>
      <w:r>
        <w:rPr>
          <w:sz w:val="20"/>
          <w:color w:val="222222"/>
          <w:b w:val="1"/>
          <w:shd w:val="clear" w:color="auto" w:fill="FFFFFF"/>
        </w:rPr>
        <w:t xml:space="preserve">优势一：</w:t>
      </w:r>
      <w:r>
        <w:rPr>
          <w:sz w:val="24"/>
        </w:rPr>
        <w:t xml:space="preserve">机械健康状态实时</w:t>
      </w:r>
    </w:p>
    <w:p>
      <w:pPr>
        <w:ind w:firstLine="480"/>
      </w:pPr>
      <w:r>
        <w:rPr>
          <w:sz w:val="24"/>
        </w:rPr>
        <w:t xml:space="preserve">机械健康状态实时了解维修、报废自动更新设备状态，实时统计设备健康状况。。</w:t>
      </w:r>
    </w:p>
    <w:p>
      <w:pPr>
        <w:numPr>
          <w:ilvl w:val="0"/>
          <w:numId w:val="2"/>
        </w:numPr>
        <w:spacing/>
      </w:pPr>
      <w:r>
        <w:rPr>
          <w:sz w:val="20"/>
          <w:color w:val="222222"/>
          <w:b w:val="1"/>
          <w:shd w:val="clear" w:color="auto" w:fill="FFFFFF"/>
        </w:rPr>
        <w:t xml:space="preserve">优势二：</w:t>
      </w:r>
      <w:r>
        <w:rPr>
          <w:sz w:val="24"/>
        </w:rPr>
        <w:t xml:space="preserve">机械维修巡检情况一目了然</w:t>
      </w:r>
    </w:p>
    <w:p>
      <w:pPr>
        <w:ind w:firstLine="480"/>
        <w:spacing/>
      </w:pPr>
      <w:r>
        <w:rPr>
          <w:sz w:val="24"/>
        </w:rPr>
        <w:t xml:space="preserve">租赁过程出现故障/维修/保养等情况，可及时线上跟踪处理，设备状态和产生费用实时统计</w:t>
      </w:r>
    </w:p>
    <w:p>
      <w:pPr>
        <w:numPr>
          <w:ilvl w:val="0"/>
          <w:numId w:val="3"/>
        </w:numPr>
        <w:spacing/>
      </w:pPr>
      <w:r>
        <w:rPr>
          <w:sz w:val="20"/>
          <w:color w:val="222222"/>
          <w:b w:val="1"/>
          <w:shd w:val="clear" w:color="auto" w:fill="FFFFFF"/>
        </w:rPr>
        <w:t xml:space="preserve">优势三：</w:t>
      </w:r>
      <w:r>
        <w:rPr>
          <w:sz w:val="24"/>
        </w:rPr>
        <w:t xml:space="preserve">机械的成本实时统计</w:t>
      </w:r>
    </w:p>
    <w:p>
      <w:pPr>
        <w:ind w:firstLine="480"/>
        <w:spacing/>
      </w:pPr>
      <w:r>
        <w:rPr>
          <w:sz w:val="24"/>
        </w:rPr>
        <w:t xml:space="preserve">单台机械运营过程产生的养护维修成本自动汇总，经营成本实时统计。</w:t>
      </w:r>
    </w:p>
    <w:p>
      <w:pPr>
        <w:ind/>
        <w:spacing/>
        <w:jc w:val="right"/>
      </w:pPr>
      <w:r>
        <w:rPr>
          <w:sz w:val="20"/>
          <w:color w:val="222222"/>
          <w:shd w:val="clear" w:color="auto" w:fill="FFFFFF"/>
        </w:rPr>
      </w:r>
      <w:r>
        <w:drawing>
          <wp:inline distT="0" distB="0" distL="0" distR="0">
            <wp:extent cx="2486025" cy="1657350"/>
            <wp:effectExtent b="0" l="0" r="0" t="0"/>
            <wp:docPr id="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0">
                      <a:off x="0" y="0"/>
                      <a:ext cx="2486025" cy="1657350"/>
                    </a:xfrm>
                    <a:prstGeom prst="rect">
                      <a:avLst/>
                    </a:prstGeom>
                    <a:ln>
                      <a:solidFill/>
                    </a:ln>
                  </pic:spPr>
                </pic:pic>
              </a:graphicData>
            </a:graphic>
          </wp:inline>
        </w:drawing>
      </w:r>
      <w:r>
        <w:rPr>
          <w:sz w:val="20"/>
          <w:color w:val="222222"/>
          <w:shd w:val="clear" w:color="auto" w:fill="FFFFFF"/>
        </w:rPr>
      </w:r>
    </w:p>
    <w:p>
      <w:pPr/>
      <w:r>
        <w:rPr>
          <w:sz w:val="32"/>
          <w:b w:val="1"/>
        </w:rPr>
        <w:t xml:space="preserve">适用企业/场景</w:t>
      </w:r>
    </w:p>
    <w:p>
      <w:pPr/>
      <w:r>
        <w:rPr>
          <w:sz w:val="24"/>
          <w:rFonts w:ascii="PingFang SC" w:hAnsi="PingFang SC" w:cs="PingFang SC" w:eastAsia="PingFang SC"/>
          <w:color w:val="333333"/>
        </w:rPr>
        <w:t xml:space="preserve">适用于机械型、工程项目型、生产加工型、代理销售型等</w:t>
      </w:r>
      <w:r>
        <w:rPr>
          <w:sz w:val="24"/>
          <w:rFonts w:ascii="PingFang SC" w:hAnsi="PingFang SC" w:cs="PingFang SC" w:eastAsia="PingFang SC"/>
          <w:color w:val="333333"/>
        </w:rPr>
        <w:t xml:space="preserve">中小型建筑类公司；</w:t>
      </w:r>
    </w:p>
    <w:p>
      <w:pPr/>
      <w:r/>
    </w:p>
    <w:p>
      <w:pPr/>
      <w:r>
        <w:rPr>
          <w:sz w:val="28"/>
          <w:b w:val="1"/>
          <w:u w:val="single"/>
        </w:rPr>
      </w:r>
    </w:p>
    <w:p>
      <w:pPr/>
      <w:r>
        <w:rPr>
          <w:sz w:val="28"/>
          <w:b w:val="1"/>
          <w:u w:val="single"/>
        </w:rPr>
        <w:t xml:space="preserve">各个模块操作说明</w:t>
      </w:r>
      <w:r>
        <w:t xml:space="preserve">：</w:t>
      </w:r>
    </w:p>
    <w:p>
      <w:pPr/>
      <w:r>
        <w:t xml:space="preserve">基础信息：</w:t>
      </w:r>
    </w:p>
    <w:p>
      <w:pPr>
        <w:numPr>
          <w:ilvl w:val="0"/>
          <w:numId w:val="4"/>
        </w:numPr>
      </w:pPr>
      <w:r>
        <w:t xml:space="preserve">巡检时间方案</w:t>
      </w:r>
    </w:p>
    <w:p>
      <w:pPr>
        <w:ind/>
      </w:pPr>
      <w:r>
        <w:t xml:space="preserve">提交计划的巡检时间维度如每日16：00等等</w:t>
      </w:r>
    </w:p>
    <w:p>
      <w:pPr>
        <w:ind/>
      </w:pPr>
      <w:r/>
      <w:r>
        <w:drawing>
          <wp:inline distT="0" distB="0" distL="0" distR="0">
            <wp:extent cx="4895850" cy="1785973"/>
            <wp:effectExtent b="0" l="0" r="0" t="0"/>
            <wp:docPr id="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0">
                      <a:off x="0" y="0"/>
                      <a:ext cx="4895850" cy="17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numPr>
          <w:ilvl w:val="0"/>
          <w:numId w:val="4"/>
        </w:numPr>
      </w:pPr>
      <w:r>
        <w:t xml:space="preserve">设备零配件厂商</w:t>
      </w:r>
    </w:p>
    <w:p>
      <w:pPr>
        <w:ind/>
      </w:pPr>
      <w:r>
        <w:t xml:space="preserve">将厂商的详细信息录入</w:t>
      </w:r>
    </w:p>
    <w:p>
      <w:pPr>
        <w:ind/>
      </w:pPr>
      <w:r/>
      <w:r>
        <w:drawing>
          <wp:inline distT="0" distB="0" distL="0" distR="0">
            <wp:extent cx="4895850" cy="2388352"/>
            <wp:effectExtent b="0" l="0" r="0" t="0"/>
            <wp:docPr id="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4895850" cy="2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numPr>
          <w:ilvl w:val="0"/>
          <w:numId w:val="4"/>
        </w:numPr>
      </w:pPr>
      <w:r>
        <w:t xml:space="preserve">巡检内容方案</w:t>
      </w:r>
    </w:p>
    <w:p>
      <w:pPr>
        <w:ind/>
      </w:pPr>
      <w:r>
        <w:t xml:space="preserve">录入固定的巡检详细内容</w:t>
      </w:r>
    </w:p>
    <w:p>
      <w:pPr>
        <w:ind/>
      </w:pPr>
      <w:r/>
      <w:r>
        <w:drawing>
          <wp:inline distT="0" distB="0" distL="0" distR="0">
            <wp:extent cx="4895850" cy="2430386"/>
            <wp:effectExtent b="0" l="0" r="0" t="0"/>
            <wp:docPr id="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0">
                      <a:off x="0" y="0"/>
                      <a:ext cx="4895850" cy="24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/>
      </w:pPr>
      <w:r>
        <w:t xml:space="preserve">零配件管理</w:t>
      </w:r>
    </w:p>
    <w:p>
      <w:pPr>
        <w:numPr>
          <w:ilvl w:val="0"/>
          <w:numId w:val="5"/>
        </w:numPr>
      </w:pPr>
      <w:r>
        <w:t xml:space="preserve">零配件台账</w:t>
      </w:r>
    </w:p>
    <w:p>
      <w:pPr>
        <w:ind/>
      </w:pPr>
      <w:r>
        <w:t xml:space="preserve">录入零配件信息</w:t>
      </w:r>
    </w:p>
    <w:p>
      <w:pPr>
        <w:ind/>
      </w:pPr>
      <w:r/>
      <w:r>
        <w:drawing>
          <wp:inline distT="0" distB="0" distL="0" distR="0">
            <wp:extent cx="3076575" cy="3486150"/>
            <wp:effectExtent b="0" l="0" r="0" t="0"/>
            <wp:docPr id="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0">
                      <a:off x="0" y="0"/>
                      <a:ext cx="30765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numPr>
          <w:ilvl w:val="0"/>
          <w:numId w:val="5"/>
        </w:numPr>
      </w:pPr>
      <w:r>
        <w:t xml:space="preserve">采购入库单</w:t>
      </w:r>
    </w:p>
    <w:p>
      <w:pPr>
        <w:ind/>
      </w:pPr>
      <w:r>
        <w:t xml:space="preserve">选择对应厂商及零配件后进行提交审批</w:t>
      </w:r>
    </w:p>
    <w:p>
      <w:pPr>
        <w:ind/>
      </w:pPr>
      <w:r/>
      <w:r>
        <w:drawing>
          <wp:inline distT="0" distB="0" distL="0" distR="0">
            <wp:extent cx="4895850" cy="2971240"/>
            <wp:effectExtent b="0" l="0" r="0" t="0"/>
            <wp:docPr id="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0">
                      <a:off x="0" y="0"/>
                      <a:ext cx="4895850" cy="29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numPr>
          <w:ilvl w:val="0"/>
          <w:numId w:val="5"/>
        </w:numPr>
      </w:pPr>
      <w:r>
        <w:t xml:space="preserve">配件领用单</w:t>
      </w:r>
    </w:p>
    <w:p>
      <w:pPr>
        <w:ind/>
      </w:pPr>
      <w:r>
        <w:t xml:space="preserve">选择对应零配件后提交到领导进行审批</w:t>
      </w:r>
    </w:p>
    <w:p>
      <w:pPr>
        <w:ind/>
      </w:pPr>
      <w:r/>
      <w:r>
        <w:drawing>
          <wp:inline distT="0" distB="0" distL="0" distR="0">
            <wp:extent cx="4895850" cy="3796684"/>
            <wp:effectExtent b="0" l="0" r="0" t="0"/>
            <wp:docPr id="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0">
                      <a:off x="0" y="0"/>
                      <a:ext cx="4895850" cy="379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/>
      </w:pPr>
      <w:r>
        <w:t xml:space="preserve">设备报废/养护</w:t>
      </w:r>
    </w:p>
    <w:p>
      <w:pPr>
        <w:numPr>
          <w:ilvl w:val="0"/>
          <w:numId w:val="6"/>
        </w:numPr>
      </w:pPr>
      <w:r>
        <w:t xml:space="preserve">设备养护单</w:t>
      </w:r>
    </w:p>
    <w:p>
      <w:pPr>
        <w:ind/>
      </w:pPr>
      <w:r>
        <w:t xml:space="preserve">选择设备后填入养护类型、保养部位、保养方法、保养使用金额</w:t>
      </w:r>
    </w:p>
    <w:p>
      <w:pPr>
        <w:ind/>
      </w:pPr>
      <w:r/>
      <w:r>
        <w:drawing>
          <wp:inline distT="0" distB="0" distL="0" distR="0">
            <wp:extent cx="3095625" cy="4581525"/>
            <wp:effectExtent b="0" l="0" r="0" t="0"/>
            <wp:docPr id="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0">
                      <a:off x="0" y="0"/>
                      <a:ext cx="30956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numPr>
          <w:ilvl w:val="0"/>
          <w:numId w:val="6"/>
        </w:numPr>
      </w:pPr>
      <w:r>
        <w:t xml:space="preserve">设备报废单</w:t>
      </w:r>
    </w:p>
    <w:p>
      <w:pPr>
        <w:ind/>
      </w:pPr>
      <w:r>
        <w:t xml:space="preserve">选择设备填入</w:t>
      </w:r>
    </w:p>
    <w:p>
      <w:pPr>
        <w:ind/>
      </w:pPr>
      <w:r/>
      <w:r>
        <w:drawing>
          <wp:inline distT="0" distB="0" distL="0" distR="0">
            <wp:extent cx="2781300" cy="4095750"/>
            <wp:effectExtent b="0" l="0" r="0" t="0"/>
            <wp:docPr id="1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/>
                  </pic:blipFill>
                  <pic:spPr>
                    <a:xfrm rot="0">
                      <a:off x="0" y="0"/>
                      <a:ext cx="27813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/>
      </w:pPr>
      <w:r>
        <w:t xml:space="preserve">设备保修/维修</w:t>
      </w:r>
    </w:p>
    <w:p>
      <w:pPr>
        <w:numPr>
          <w:ilvl w:val="0"/>
          <w:numId w:val="7"/>
        </w:numPr>
      </w:pPr>
      <w:r>
        <w:t xml:space="preserve">设备保修单</w:t>
      </w:r>
    </w:p>
    <w:p>
      <w:pPr>
        <w:ind/>
      </w:pPr>
      <w:r/>
      <w:r>
        <w:drawing>
          <wp:inline distT="0" distB="0" distL="0" distR="0">
            <wp:extent cx="2971800" cy="2495550"/>
            <wp:effectExtent b="0" l="0" r="0" t="0"/>
            <wp:docPr id="1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 rot="0">
                      <a:off x="0" y="0"/>
                      <a:ext cx="29718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numPr>
          <w:ilvl w:val="0"/>
          <w:numId w:val="7"/>
        </w:numPr>
      </w:pPr>
      <w:r>
        <w:t xml:space="preserve">设备维修单</w:t>
      </w:r>
    </w:p>
    <w:p>
      <w:pPr>
        <w:ind/>
      </w:pPr>
      <w:r/>
      <w:r>
        <w:drawing>
          <wp:inline distT="0" distB="0" distL="0" distR="0">
            <wp:extent cx="4895850" cy="2410835"/>
            <wp:effectExtent b="0" l="0" r="0" t="0"/>
            <wp:docPr id="1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 rot="0">
                      <a:off x="0" y="0"/>
                      <a:ext cx="4895850" cy="2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/>
      </w:pPr>
      <w:r>
        <w:t xml:space="preserve">设备巡检</w:t>
      </w:r>
    </w:p>
    <w:p>
      <w:pPr>
        <w:numPr>
          <w:ilvl w:val="0"/>
          <w:numId w:val="8"/>
        </w:numPr>
      </w:pPr>
      <w:r>
        <w:t xml:space="preserve">设备巡检计划</w:t>
      </w:r>
    </w:p>
    <w:p>
      <w:pPr>
        <w:ind/>
      </w:pPr>
      <w:r/>
      <w:r>
        <w:drawing>
          <wp:inline distT="0" distB="0" distL="0" distR="0">
            <wp:extent cx="4895850" cy="3835413"/>
            <wp:effectExtent b="0" l="0" r="0" t="0"/>
            <wp:docPr id="1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0">
                      <a:off x="0" y="0"/>
                      <a:ext cx="4895850" cy="38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numPr>
          <w:ilvl w:val="0"/>
          <w:numId w:val="8"/>
        </w:numPr>
      </w:pPr>
      <w:r>
        <w:t xml:space="preserve">设备巡检单</w:t>
      </w:r>
    </w:p>
    <w:p>
      <w:pPr>
        <w:ind/>
      </w:pPr>
      <w:r/>
      <w:r>
        <w:drawing>
          <wp:inline distT="0" distB="0" distL="0" distR="0">
            <wp:extent cx="4895850" cy="3671888"/>
            <wp:effectExtent b="0" l="0" r="0" t="0"/>
            <wp:docPr id="1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/>
                  </pic:blipFill>
                  <pic:spPr>
                    <a:xfrm rot="0">
                      <a:off x="0" y="0"/>
                      <a:ext cx="4895850" cy="36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/>
      </w:pPr>
      <w:r>
        <w:t xml:space="preserve">数据看板</w:t>
      </w:r>
    </w:p>
    <w:p>
      <w:pPr>
        <w:ind/>
      </w:pPr>
      <w:r/>
      <w:r>
        <w:drawing>
          <wp:inline distT="0" distB="0" distL="0" distR="0">
            <wp:extent cx="4895850" cy="2471448"/>
            <wp:effectExtent b="0" l="0" r="0" t="0"/>
            <wp:docPr id="1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 rot="0">
                      <a:off x="0" y="0"/>
                      <a:ext cx="4895850" cy="247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jc w:val="center"/>
      </w:pPr>
      <w:r/>
    </w:p>
    <w:p>
      <w:pPr>
        <w:ind/>
      </w:pPr>
      <w:r/>
    </w:p>
    <w:p>
      <w:pPr/>
      <w:r/>
    </w:p>
    <w:p>
      <w:pPr/>
      <w:r/>
    </w:p>
    <w:sectPr>
      <w:pgSz w:w="11899.95" w:h="16840.05"/>
      <w:pgMar w:top="1440" w:right="1080" w:bottom="1440" w:left="1080" w:header="850.95" w:footer="991.95" w:gutter="0"/>
      <w:type w:val="nextPage"/>
    </w:sectPr>
  </w:body>
</w:document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lvl w:ilvl="0">
      <w:start w:val="1"/>
      <w:numFmt w:val="bullet"/>
      <w:lvlText w:val="[休假]"/>
      <w:lvlJc w:val="left"/>
      <w:pPr>
        <w:ind w:left="420" w:hanging="420"/>
      </w:pPr>
      <w:rPr/>
    </w:lvl>
  </w:abstractNum>
  <w:abstractNum w:abstractNumId="5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3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7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4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6" w15:restartNumberingAfterBreak="0">
    <w:lvl w:ilvl="0">
      <w:start w:val="1"/>
      <w:numFmt w:val="decimal"/>
      <w:lvlText w:val="%1."/>
      <w:lvlJc w:val="left"/>
      <w:pPr>
        <w:ind w:left="420" w:hanging="420"/>
      </w:pPr>
      <w:rPr/>
    </w:lvl>
  </w:abstractNum>
  <w:abstractNum w:abstractNumId="1" w15:restartNumberingAfterBreak="0">
    <w:lvl w:ilvl="0">
      <w:start w:val="1"/>
      <w:numFmt w:val="bullet"/>
      <w:lvlText w:val="[休假]"/>
      <w:lvlJc w:val="left"/>
      <w:pPr>
        <w:ind w:left="420" w:hanging="420"/>
      </w:pPr>
      <w:rPr/>
    </w:lvl>
  </w:abstractNum>
  <w:abstractNum w:abstractNumId="2" w15:restartNumberingAfterBreak="0">
    <w:lvl w:ilvl="0">
      <w:start w:val="1"/>
      <w:numFmt w:val="bullet"/>
      <w:lvlText w:val="[休假]"/>
      <w:lvlJc w:val="left"/>
      <w:pPr>
        <w:ind w:left="420" w:hanging="420"/>
      </w:pPr>
      <w:rPr/>
    </w:lvl>
  </w:abstractNum>
  <w:num w:numId="6">
    <w:abstractNumId w:val="5"/>
  </w:num>
  <w:num w:numId="7">
    <w:abstractNumId w:val="6"/>
  </w:num>
  <w:num w:numId="3">
    <w:abstractNumId w:val="2"/>
  </w:num>
  <w:num w:numId="8">
    <w:abstractNumId w:val="7"/>
  </w:num>
  <w:num w:numId="5">
    <w:abstractNumId w:val="4"/>
  </w:num>
  <w:num w:numId="4">
    <w:abstractNumId w:val="3"/>
  </w:num>
  <w:num w:numId="1">
    <w:abstractNumId w:val="0"/>
  </w:num>
  <w:num w:numId="2">
    <w:abstractNumId w:val="1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1" w:styleId="docDefaults">
    <w:name w:val="dingdocnormal"/>
    <w:tcPr/>
    <w:pPr>
      <w:spacing/>
    </w:pPr>
    <w:rPr/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image" Target="media/image1.png" />
  <Relationship Id="rId5" Type="http://schemas.openxmlformats.org/officeDocument/2006/relationships/image" Target="media/image2.png" />
  <Relationship Id="rId6" Type="http://schemas.openxmlformats.org/officeDocument/2006/relationships/image" Target="media/image3.png" />
  <Relationship Id="rId7" Type="http://schemas.openxmlformats.org/officeDocument/2006/relationships/image" Target="media/image4.png" />
  <Relationship Id="rId8" Type="http://schemas.openxmlformats.org/officeDocument/2006/relationships/image" Target="media/image5.png" />
  <Relationship Id="rId9" Type="http://schemas.openxmlformats.org/officeDocument/2006/relationships/image" Target="media/image6.png" />
  <Relationship Id="rId10" Type="http://schemas.openxmlformats.org/officeDocument/2006/relationships/image" Target="media/image7.png" />
  <Relationship Id="rId11" Type="http://schemas.openxmlformats.org/officeDocument/2006/relationships/image" Target="media/image8.png" />
  <Relationship Id="rId12" Type="http://schemas.openxmlformats.org/officeDocument/2006/relationships/image" Target="media/image9.png" />
  <Relationship Id="rId13" Type="http://schemas.openxmlformats.org/officeDocument/2006/relationships/image" Target="media/image10.png" />
  <Relationship Id="rId14" Type="http://schemas.openxmlformats.org/officeDocument/2006/relationships/image" Target="media/image11.png" />
  <Relationship Id="rId15" Type="http://schemas.openxmlformats.org/officeDocument/2006/relationships/image" Target="media/image12.png" />
  <Relationship Id="rId16" Type="http://schemas.openxmlformats.org/officeDocument/2006/relationships/image" Target="media/image13.png" />
  <Relationship Id="rId17" Type="http://schemas.openxmlformats.org/officeDocument/2006/relationships/image" Target="media/image14.png" />
  <Relationship Id="rId18" Type="http://schemas.openxmlformats.org/officeDocument/2006/relationships/image" Target="media/image15.png" />
  <Relationship Id="rId1" Type="http://schemas.openxmlformats.org/officeDocument/2006/relationships/styles" Target="styles.xml" />
  <Relationship Id="rId2" Type="http://schemas.openxmlformats.org/officeDocument/2006/relationships/settings" Target="settings.xml" />
  <Relationship Id="rId3" Type="http://schemas.openxmlformats.org/officeDocument/2006/relationships/numbering" Target="numbering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