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/>
      <w:r>
        <w:rPr>
          <w:sz w:val="28"/>
          <w:b w:val="1"/>
          <w:u w:val="single"/>
        </w:rPr>
        <w:t xml:space="preserve">面临的困难：</w:t>
      </w:r>
    </w:p>
    <w:tbl>
      <w:tblPr>
        <w:tblStyle w:val="TableGrid"/>
        <w:tblW w:w="0" w:type="auto"/>
      </w:tblPr>
      <w:tblGrid>
        <w:gridCol w:w="4875"/>
        <w:gridCol w:w="4875"/>
      </w:tblGrid>
      <w:tr>
        <w:trPr>
          <w:trHeight w:val="0"/>
        </w:trPr>
        <w:tc>
          <w:tcPr>
            <w:tcW w:w="4875" w:type="dxa"/>
            <w:vAlign w:val="top"/>
            <w:shd w:val="clear" w:color="auto" w:fill="E6F3FF"/>
          </w:tcPr>
          <w:p>
            <w:pPr>
              <w:numPr>
                <w:ilvl w:val="0"/>
                <w:numId w:val="1"/>
              </w:numPr>
            </w:pPr>
            <w:r>
              <w:rPr>
                <w:sz w:val="20"/>
              </w:rPr>
              <w:t xml:space="preserve">过去：</w:t>
            </w:r>
          </w:p>
          <w:p>
            <w:pPr>
              <w:ind/>
              <w:jc w:val="left"/>
            </w:pPr>
            <w:r>
              <w:rPr>
                <w:sz w:val="20"/>
                <w:rFonts w:ascii="Microsoft Yahei" w:hAnsi="Microsoft Yahei" w:cs="Microsoft Yahei" w:eastAsia="Microsoft Yahei"/>
                <w:color w:val="333333"/>
              </w:rPr>
              <w:t xml:space="preserve">            </w:t>
            </w:r>
            <w:r>
              <w:rPr>
                <w:sz w:val="20"/>
                <w:rFonts w:ascii="Microsoft Yahei" w:hAnsi="Microsoft Yahei" w:cs="Microsoft Yahei" w:eastAsia="Microsoft Yahei"/>
                <w:color w:val="333333"/>
              </w:rPr>
              <w:t xml:space="preserve"> </w:t>
            </w:r>
            <w:r>
              <w:rPr>
                <w:sz w:val="20"/>
                <w:rFonts w:ascii="Microsoft Yahei" w:hAnsi="Microsoft Yahei" w:cs="Microsoft Yahei" w:eastAsia="Microsoft Yahei"/>
                <w:color w:val="333333"/>
                <w:vertAlign w:val="superscript"/>
              </w:rPr>
              <w:t xml:space="preserve"> </w:t>
            </w:r>
            <w:r>
              <w:rPr>
                <w:sz w:val="20"/>
                <w:color w:val="333333"/>
                <w:vertAlign w:val="superscript"/>
              </w:rPr>
              <w:t xml:space="preserve"> 1、用印频次高，申请使用审批流程繁琐，用印工作效率低；</w:t>
            </w:r>
          </w:p>
          <w:p>
            <w:pPr>
              <w:numPr>
                <w:ilvl w:val="1"/>
                <w:numId w:val="1"/>
              </w:numPr>
              <w:spacing/>
              <w:jc w:val="left"/>
            </w:pPr>
            <w:r>
              <w:rPr>
                <w:sz w:val="20"/>
                <w:color w:val="333333"/>
                <w:vertAlign w:val="superscript"/>
              </w:rPr>
              <w:t xml:space="preserve">2、人工台账记录不精准：文件、合同盖章时一般需印章管理人员填写台账。但是填写易错写、漏写、涂改，对风险防范和用章监督的作用不大；</w:t>
            </w:r>
          </w:p>
          <w:p>
            <w:pPr>
              <w:numPr>
                <w:ilvl w:val="1"/>
                <w:numId w:val="1"/>
              </w:numPr>
              <w:spacing/>
              <w:jc w:val="left"/>
            </w:pPr>
            <w:r>
              <w:rPr>
                <w:sz w:val="20"/>
                <w:color w:val="333333"/>
                <w:vertAlign w:val="superscript"/>
              </w:rPr>
              <w:t xml:space="preserve">2、分支机构用章需将文件寄送至总部盖章后再回寄，异地协同难，往返寄送成本高；</w:t>
            </w:r>
          </w:p>
          <w:p>
            <w:pPr>
              <w:numPr>
                <w:ilvl w:val="1"/>
                <w:numId w:val="1"/>
              </w:numPr>
              <w:spacing/>
              <w:jc w:val="left"/>
            </w:pPr>
            <w:r>
              <w:rPr>
                <w:sz w:val="20"/>
                <w:color w:val="333333"/>
                <w:vertAlign w:val="superscript"/>
              </w:rPr>
              <w:t xml:space="preserve">3、传统实体印章，只要拿到手上沾上印油随手就可以盖，安全性低，给公章私盖、偷盖等不法行为留下可趁之机；</w:t>
            </w:r>
          </w:p>
        </w:tc>
        <w:tc>
          <w:tcPr>
            <w:tcW w:w="4875" w:type="dxa"/>
            <w:vAlign w:val="top"/>
            <w:shd w:val="clear" w:color="auto" w:fill="FBF3DB"/>
          </w:tcPr>
          <w:p>
            <w:pPr>
              <w:numPr>
                <w:ilvl w:val="0"/>
                <w:numId w:val="2"/>
              </w:numPr>
            </w:pPr>
            <w:r>
              <w:rPr>
                <w:sz w:val="20"/>
              </w:rPr>
              <w:t xml:space="preserve">现在：</w:t>
            </w:r>
          </w:p>
          <w:p>
            <w:pPr>
              <w:ind/>
            </w:pPr>
            <w:r>
              <w:rPr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color w:val="333333"/>
                <w:vertAlign w:val="superscript"/>
              </w:rPr>
              <w:t xml:space="preserve">1、盖章在线化，协同安全高效：依托于物联网技术应用，将实体印章安装至设备当中，用章通过钉钉就可以申请、审核、授权、盖章，远程在线化管控模式，取消区域、时间对盖章的限制，对跨区域经营的企业改善协作与沟通效率十分重要。</w:t>
            </w:r>
          </w:p>
          <w:p>
            <w:pPr>
              <w:ind/>
              <w:spacing/>
            </w:pPr>
            <w:r>
              <w:rPr>
                <w:sz w:val="20"/>
                <w:color w:val="333333"/>
                <w:vertAlign w:val="superscript"/>
              </w:rPr>
              <w:t xml:space="preserve">  </w:t>
            </w:r>
            <w:r>
              <w:rPr>
                <w:sz w:val="20"/>
                <w:color w:val="333333"/>
                <w:vertAlign w:val="superscript"/>
              </w:rPr>
              <w:t xml:space="preserve">2、过程可追溯，用印身份、用章类型、用印合同内容等信息，可实时审计，永久储存，实时追溯。</w:t>
            </w:r>
          </w:p>
        </w:tc>
      </w:tr>
    </w:tbl>
    <w:tbl>
      <w:tblPr>
        <w:tblStyle w:val="TableGrid"/>
        <w:tblW w:w="0" w:type="auto"/>
      </w:tblPr>
      <w:tblGrid>
        <w:gridCol w:w="6174"/>
        <w:gridCol w:w="3264"/>
      </w:tblGrid>
      <w:tr>
        <w:trPr/>
        <w:tc>
          <w:tcPr>
            <w:tcW w:w="6174" w:type="dxa"/>
            <w:vAlign w:val="top"/>
            <w:shd w:val="clear" w:color="auto" w:fill="FFFFFF"/>
          </w:tcPr>
          <w:p>
            <w:pPr/>
            <w:r>
              <w:rPr>
                <w:color w:val="FFFFFF"/>
                <w:shd w:val="clear" w:color="auto" w:fill="DAE2F6"/>
              </w:rPr>
            </w:r>
          </w:p>
        </w:tc>
        <w:tc>
          <w:tcPr>
            <w:tcW w:w="3264" w:type="dxa"/>
            <w:vAlign w:val="top"/>
          </w:tcPr>
          <w:p>
            <w:pPr/>
            <w:r/>
            <w:r>
              <w:drawing>
                <wp:inline distT="0" distB="0" distL="0" distR="0">
                  <wp:extent cx="2246376" cy="1684782"/>
                  <wp:effectExtent b="0" l="0" r="0" t="0"/>
                  <wp:docPr id="1" name="pexels-energepiccom-313690.jpe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rot="0">
                            <a:off x="0" y="0"/>
                            <a:ext cx="2246376" cy="1684782"/>
                          </a:xfrm>
                          <a:prstGeom prst="rect">
                            <a:avLst/>
                          </a:prstGeom>
                          <a:ln w="9525">
                            <a:solid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/>
      <w:r>
        <w:rPr>
          <w:sz w:val="28"/>
          <w:b w:val="1"/>
        </w:rPr>
      </w:r>
    </w:p>
    <w:p>
      <w:pPr/>
      <w:r>
        <w:rPr>
          <w:sz w:val="28"/>
          <w:b w:val="1"/>
          <w:u w:val="single"/>
        </w:rPr>
        <w:t xml:space="preserve">应用特点：</w:t>
      </w:r>
    </w:p>
    <w:p>
      <w:pPr>
        <w:numPr>
          <w:ilvl w:val="0"/>
          <w:numId w:val="3"/>
        </w:numPr>
      </w:pPr>
      <w:r>
        <w:rPr>
          <w:sz w:val="20"/>
          <w:color w:val="222222"/>
          <w:b w:val="1"/>
          <w:shd w:val="clear" w:color="auto" w:fill="FFFFFF"/>
        </w:rPr>
        <w:t xml:space="preserve">优势一：提升工作效率</w:t>
      </w:r>
    </w:p>
    <w:p>
      <w:pPr>
        <w:ind w:firstLine="480"/>
      </w:pPr>
      <w:r>
        <w:rPr>
          <w:sz w:val="20"/>
          <w:color w:val="222222"/>
          <w:shd w:val="clear" w:color="auto" w:fill="FFFFFF"/>
        </w:rPr>
        <w:t xml:space="preserve">点击几次鼠标或手机屏幕就能轻松完成盖章签署，随时随地满足签署需要，永远不拖业务后腿。合同签署、审批等工作不再受地域和时间限制，可以自由规划签署盖章时间，把碎片化的盖章时间集中汇集，工作时不会被时刻来访的盖章“打扰”。再也不用时刻盯流程、跟领导、催客户，电子签章就可以提升你在工作中的的幸福感和满意度！不仅如此，还可实现系统自动盖章，轻轻松松1秒完成。无需等待，可满足多人同时工作用章，解决“一章难求”、排队用章等难题。</w:t>
      </w:r>
    </w:p>
    <w:p>
      <w:pPr>
        <w:ind w:firstLine="480"/>
        <w:jc w:val="right"/>
      </w:pPr>
      <w:r>
        <w:rPr>
          <w:sz w:val="20"/>
          <w:color w:val="222222"/>
          <w:shd w:val="clear" w:color="auto" w:fill="FFFFFF"/>
        </w:rPr>
      </w:r>
    </w:p>
    <w:p>
      <w:pPr/>
      <w:r/>
    </w:p>
    <w:p>
      <w:pPr>
        <w:numPr>
          <w:ilvl w:val="0"/>
          <w:numId w:val="4"/>
        </w:numPr>
        <w:spacing/>
      </w:pPr>
      <w:r>
        <w:rPr>
          <w:sz w:val="20"/>
          <w:color w:val="222222"/>
          <w:b w:val="1"/>
          <w:shd w:val="clear" w:color="auto" w:fill="FFFFFF"/>
        </w:rPr>
        <w:t xml:space="preserve">优势二：管理更便捷</w:t>
      </w:r>
    </w:p>
    <w:p>
      <w:pPr>
        <w:ind/>
        <w:spacing/>
      </w:pPr>
      <w:r>
        <w:rPr>
          <w:sz w:val="20"/>
          <w:color w:val="222222"/>
          <w:shd w:val="clear" w:color="auto" w:fill="FFFFFF"/>
        </w:rPr>
        <w:t xml:space="preserve">让你从繁琐的印章管理工作中彻底解放出来！无论是电子签章的制作、授权、查看还是删除，均可在线操作，谁用了印章，什么时候用了印章，用在哪里了，一目了然，放心用章。</w:t>
      </w:r>
    </w:p>
    <w:p>
      <w:pPr>
        <w:numPr>
          <w:ilvl w:val="0"/>
          <w:numId w:val="5"/>
        </w:numPr>
        <w:spacing/>
      </w:pPr>
      <w:r>
        <w:rPr>
          <w:sz w:val="20"/>
          <w:color w:val="222222"/>
          <w:b w:val="1"/>
          <w:shd w:val="clear" w:color="auto" w:fill="FFFFFF"/>
        </w:rPr>
        <w:t xml:space="preserve">优势三：节省大量成本</w:t>
      </w:r>
    </w:p>
    <w:p>
      <w:pPr>
        <w:ind/>
        <w:spacing/>
      </w:pPr>
      <w:r>
        <w:rPr>
          <w:sz w:val="20"/>
          <w:color w:val="222222"/>
          <w:shd w:val="clear" w:color="auto" w:fill="FFFFFF"/>
        </w:rPr>
        <w:t xml:space="preserve">不费一纸一墨，完成电子签署的电子文件直接线上存储，纸张、快递、仓储等成本得以节省，最重要的是你再也不用为了找一份文件、合同翻找半天，不用每年对纸质档案进行保管查阅，极大地节省了你的时间成本，可以专注其他工作，不断提升自我。</w:t>
      </w:r>
    </w:p>
    <w:p>
      <w:pPr>
        <w:ind/>
        <w:spacing/>
        <w:jc w:val="right"/>
      </w:pPr>
      <w:r>
        <w:rPr>
          <w:sz w:val="20"/>
          <w:color w:val="222222"/>
          <w:shd w:val="clear" w:color="auto" w:fill="FFFFFF"/>
        </w:rPr>
      </w:r>
      <w:r>
        <w:drawing>
          <wp:inline distT="0" distB="0" distL="0" distR="0">
            <wp:extent cx="2246376" cy="1494411"/>
            <wp:effectExtent b="0" l="0" r="0" t="0"/>
            <wp:docPr id="2" name="pexels-tara-winstead-7111548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2246376" cy="1494411"/>
                    </a:xfrm>
                    <a:prstGeom prst="rect">
                      <a:avLst/>
                    </a:prstGeom>
                    <a:ln w="9525">
                      <a:solidFill/>
                    </a:ln>
                  </pic:spPr>
                </pic:pic>
              </a:graphicData>
            </a:graphic>
          </wp:inline>
        </w:drawing>
      </w:r>
      <w:r>
        <w:rPr>
          <w:sz w:val="20"/>
          <w:color w:val="222222"/>
          <w:shd w:val="clear" w:color="auto" w:fill="FFFFFF"/>
        </w:rPr>
      </w:r>
    </w:p>
    <w:p>
      <w:pPr/>
      <w:r/>
    </w:p>
    <w:p>
      <w:pPr/>
      <w:r>
        <w:rPr>
          <w:sz w:val="28"/>
          <w:b w:val="1"/>
          <w:u w:val="single"/>
        </w:rPr>
        <w:t xml:space="preserve">操作流程图：</w:t>
      </w:r>
    </w:p>
    <w:p>
      <w:pPr/>
      <w:r>
        <w:rPr>
          <w:sz w:val="28"/>
          <w:b w:val="1"/>
        </w:rPr>
      </w:r>
      <w:r>
        <w:drawing>
          <wp:inline distT="0" distB="0" distL="0" distR="0">
            <wp:extent cx="6191250" cy="2811461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6191250" cy="28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b w:val="1"/>
        </w:rPr>
      </w:r>
    </w:p>
    <w:p>
      <w:pPr/>
      <w:r/>
    </w:p>
    <w:p>
      <w:pPr/>
      <w:r/>
    </w:p>
    <w:p>
      <w:pPr/>
      <w:r>
        <w:rPr>
          <w:sz w:val="28"/>
          <w:b w:val="1"/>
          <w:u w:val="single"/>
        </w:rPr>
        <w:t xml:space="preserve">各个模块操作说明</w:t>
      </w:r>
      <w:r>
        <w:t xml:space="preserve">：</w:t>
      </w:r>
    </w:p>
    <w:p>
      <w:pPr/>
      <w:r>
        <w:t xml:space="preserve">刻章申请：用于新增印章、印章损坏/丢失的申请流程</w:t>
      </w:r>
    </w:p>
    <w:p>
      <w:pPr/>
      <w:r/>
      <w:r>
        <w:drawing>
          <wp:inline distT="0" distB="0" distL="0" distR="0">
            <wp:extent cx="6858000" cy="3295650"/>
            <wp:effectExtent b="0" l="0" r="0" t="0"/>
            <wp:docPr id="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6858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t xml:space="preserve">用印申请：选择在库闲置印章后走审批</w:t>
      </w:r>
    </w:p>
    <w:p>
      <w:pPr/>
      <w:r/>
      <w:r>
        <w:drawing>
          <wp:inline distT="0" distB="0" distL="0" distR="0">
            <wp:extent cx="6410325" cy="2476500"/>
            <wp:effectExtent b="0" l="0" r="0" t="0"/>
            <wp:docPr id="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6410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t xml:space="preserve">用章借出：借出闲置印章</w:t>
      </w:r>
    </w:p>
    <w:p>
      <w:pPr/>
      <w:r/>
      <w:r>
        <w:drawing>
          <wp:inline distT="0" distB="0" distL="0" distR="0">
            <wp:extent cx="6667500" cy="3152775"/>
            <wp:effectExtent b="0" l="0" r="0" t="0"/>
            <wp:docPr id="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66675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t xml:space="preserve">用印归还：关联本人借出的印章进行归还</w:t>
      </w:r>
    </w:p>
    <w:p>
      <w:pPr/>
      <w:r/>
      <w:r>
        <w:drawing>
          <wp:inline distT="0" distB="0" distL="0" distR="0">
            <wp:extent cx="6905625" cy="2876550"/>
            <wp:effectExtent b="0" l="0" r="0" t="0"/>
            <wp:docPr id="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69056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t xml:space="preserve">用印废止：关联失效印章进行废止</w:t>
      </w:r>
    </w:p>
    <w:p>
      <w:pPr/>
      <w:r/>
      <w:r>
        <w:drawing>
          <wp:inline distT="0" distB="0" distL="0" distR="0">
            <wp:extent cx="7086600" cy="2847975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7086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t xml:space="preserve">用印库：印章的闲置情况</w:t>
      </w:r>
    </w:p>
    <w:p>
      <w:pPr/>
      <w:r/>
      <w:r>
        <w:drawing>
          <wp:inline distT="0" distB="0" distL="0" distR="0">
            <wp:extent cx="6619875" cy="3286125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66198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/>
    </w:p>
    <w:sectPr>
      <w:pgSz w:w="11899.95" w:h="16840.05"/>
      <w:pgMar w:top="1440" w:right="1080" w:bottom="1440" w:left="1080" w:header="850.95" w:footer="991.95" w:gutter="0"/>
      <w:type w:val="nextPage"/>
    </w:sectPr>
  </w:body>
</w:document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2" w15:restartNumberingAfterBreak="0">
    <w:lvl w:ilvl="0">
      <w:start w:val="1"/>
      <w:numFmt w:val="bullet"/>
      <w:lvlText w:val="[休假]"/>
      <w:lvlJc w:val="left"/>
      <w:pPr>
        <w:ind w:left="420" w:hanging="420"/>
      </w:pPr>
      <w:rPr/>
    </w:lvl>
  </w:abstractNum>
  <w:abstractNum w:abstractNumId="0" w15:restartNumberingAfterBreak="0">
    <w:lvl w:ilvl="0">
      <w:start w:val="1"/>
      <w:numFmt w:val="bullet"/>
      <w:lvlText w:val="[向右]"/>
      <w:lvlJc w:val="left"/>
      <w:pPr>
        <w:ind w:left="420" w:hanging="420"/>
      </w:pPr>
      <w:rPr/>
    </w:lvl>
    <w:lvl w:ilvl="1">
      <w:start w:val="1"/>
      <w:numFmt w:val="bullet"/>
      <w:lvlText w:val="[钉子]"/>
      <w:lvlJc w:val="left"/>
      <w:pPr>
        <w:ind w:left="840" w:hanging="420"/>
      </w:pPr>
      <w:rPr/>
    </w:lvl>
  </w:abstractNum>
  <w:abstractNum w:abstractNumId="4" w15:restartNumberingAfterBreak="0">
    <w:lvl w:ilvl="0">
      <w:start w:val="1"/>
      <w:numFmt w:val="bullet"/>
      <w:lvlText w:val="[休假]"/>
      <w:lvlJc w:val="left"/>
      <w:pPr>
        <w:ind w:left="420" w:hanging="420"/>
      </w:pPr>
      <w:rPr/>
    </w:lvl>
  </w:abstractNum>
  <w:abstractNum w:abstractNumId="1" w15:restartNumberingAfterBreak="0">
    <w:lvl w:ilvl="0">
      <w:start w:val="1"/>
      <w:numFmt w:val="bullet"/>
      <w:lvlText w:val="[向右]"/>
      <w:lvlJc w:val="left"/>
      <w:pPr>
        <w:ind w:left="420" w:hanging="420"/>
      </w:pPr>
      <w:rPr/>
    </w:lvl>
  </w:abstractNum>
  <w:abstractNum w:abstractNumId="3" w15:restartNumberingAfterBreak="0">
    <w:lvl w:ilvl="0">
      <w:start w:val="1"/>
      <w:numFmt w:val="bullet"/>
      <w:lvlText w:val="[休假]"/>
      <w:lvlJc w:val="left"/>
      <w:pPr>
        <w:ind w:left="420" w:hanging="420"/>
      </w:pPr>
      <w:rPr/>
    </w:lvl>
  </w:abstractNum>
  <w:num w:numId="2">
    <w:abstractNumId w:val="1"/>
  </w:num>
  <w:num w:numId="5">
    <w:abstractNumId w:val="4"/>
  </w:num>
  <w:num w:numId="1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1" w:styleId="docDefaults">
    <w:name w:val="dingdocnormal"/>
    <w:tcPr/>
    <w:pPr>
      <w:spacing/>
    </w:pPr>
    <w:rPr/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image" Target="media/image1.jpg" />
  <Relationship Id="rId5" Type="http://schemas.openxmlformats.org/officeDocument/2006/relationships/image" Target="media/image2.jpg" />
  <Relationship Id="rId6" Type="http://schemas.openxmlformats.org/officeDocument/2006/relationships/image" Target="media/image3.png" />
  <Relationship Id="rId7" Type="http://schemas.openxmlformats.org/officeDocument/2006/relationships/image" Target="media/image4.png" />
  <Relationship Id="rId8" Type="http://schemas.openxmlformats.org/officeDocument/2006/relationships/image" Target="media/image5.png" />
  <Relationship Id="rId9" Type="http://schemas.openxmlformats.org/officeDocument/2006/relationships/image" Target="media/image6.png" />
  <Relationship Id="rId10" Type="http://schemas.openxmlformats.org/officeDocument/2006/relationships/image" Target="media/image7.png" />
  <Relationship Id="rId11" Type="http://schemas.openxmlformats.org/officeDocument/2006/relationships/image" Target="media/image8.png" />
  <Relationship Id="rId12" Type="http://schemas.openxmlformats.org/officeDocument/2006/relationships/image" Target="media/image9.png" />
  <Relationship Id="rId1" Type="http://schemas.openxmlformats.org/officeDocument/2006/relationships/styles" Target="styles.xml" />
  <Relationship Id="rId2" Type="http://schemas.openxmlformats.org/officeDocument/2006/relationships/settings" Target="settings.xml" />
  <Relationship Id="rId3" Type="http://schemas.openxmlformats.org/officeDocument/2006/relationships/numbering" Target="numbering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